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9896C">
      <w:pPr>
        <w:keepNext w:val="0"/>
        <w:keepLines w:val="0"/>
        <w:pageBreakBefore w:val="0"/>
        <w:widowControl w:val="0"/>
        <w:kinsoku/>
        <w:wordWrap/>
        <w:overflowPunct w:val="0"/>
        <w:topLinePunct/>
        <w:autoSpaceDE/>
        <w:autoSpaceDN w:val="0"/>
        <w:bidi w:val="0"/>
        <w:adjustRightInd w:val="0"/>
        <w:snapToGrid w:val="0"/>
        <w:spacing w:line="240" w:lineRule="auto"/>
        <w:jc w:val="left"/>
        <w:textAlignment w:val="auto"/>
        <w:rPr>
          <w:rFonts w:hint="eastAsia" w:ascii="黑体" w:hAnsi="黑体" w:eastAsia="黑体" w:cs="黑体"/>
          <w:b w:val="0"/>
          <w:bCs/>
          <w:sz w:val="32"/>
          <w:szCs w:val="32"/>
          <w:lang w:val="en-US" w:eastAsia="zh-CN" w:bidi="ar"/>
        </w:rPr>
      </w:pPr>
      <w:r>
        <w:rPr>
          <w:rFonts w:hint="eastAsia" w:ascii="黑体" w:hAnsi="黑体" w:eastAsia="黑体" w:cs="黑体"/>
          <w:b w:val="0"/>
          <w:bCs/>
          <w:sz w:val="32"/>
          <w:szCs w:val="32"/>
          <w:lang w:val="en-US" w:eastAsia="zh-CN" w:bidi="ar"/>
        </w:rPr>
        <w:t>附件2</w:t>
      </w:r>
    </w:p>
    <w:p w14:paraId="213201FC">
      <w:pPr>
        <w:keepNext w:val="0"/>
        <w:keepLines w:val="0"/>
        <w:pageBreakBefore w:val="0"/>
        <w:widowControl w:val="0"/>
        <w:kinsoku/>
        <w:wordWrap/>
        <w:overflowPunct w:val="0"/>
        <w:topLinePunct/>
        <w:autoSpaceDE/>
        <w:autoSpaceDN w:val="0"/>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US" w:eastAsia="zh-CN" w:bidi="ar"/>
        </w:rPr>
        <w:t xml:space="preserve">评 分 细 则 </w:t>
      </w:r>
      <w:r>
        <w:rPr>
          <w:rFonts w:hint="eastAsia" w:ascii="方正小标宋简体" w:hAnsi="方正小标宋简体" w:eastAsia="方正小标宋简体" w:cs="方正小标宋简体"/>
          <w:b w:val="0"/>
          <w:bCs/>
          <w:sz w:val="44"/>
          <w:szCs w:val="44"/>
          <w:lang w:bidi="ar"/>
        </w:rPr>
        <w:t>表</w:t>
      </w:r>
    </w:p>
    <w:bookmarkEnd w:id="0"/>
    <w:tbl>
      <w:tblPr>
        <w:tblStyle w:val="12"/>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7401"/>
        <w:gridCol w:w="793"/>
      </w:tblGrid>
      <w:tr w14:paraId="145B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1665" w:type="dxa"/>
            <w:noWrap w:val="0"/>
            <w:vAlign w:val="center"/>
          </w:tcPr>
          <w:p w14:paraId="0FB137E0">
            <w:pPr>
              <w:widowControl/>
              <w:spacing w:line="480" w:lineRule="auto"/>
              <w:ind w:left="-105" w:leftChars="-50" w:right="-105" w:rightChars="-5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w:t>
            </w:r>
          </w:p>
        </w:tc>
        <w:tc>
          <w:tcPr>
            <w:tcW w:w="7401" w:type="dxa"/>
            <w:noWrap w:val="0"/>
            <w:vAlign w:val="center"/>
          </w:tcPr>
          <w:p w14:paraId="6A2CC8F1">
            <w:pPr>
              <w:widowControl/>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内容</w:t>
            </w:r>
          </w:p>
        </w:tc>
        <w:tc>
          <w:tcPr>
            <w:tcW w:w="793" w:type="dxa"/>
            <w:noWrap w:val="0"/>
            <w:vAlign w:val="center"/>
          </w:tcPr>
          <w:p w14:paraId="070DB457">
            <w:pPr>
              <w:widowControl/>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分值</w:t>
            </w:r>
          </w:p>
        </w:tc>
      </w:tr>
      <w:tr w14:paraId="131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1665" w:type="dxa"/>
            <w:noWrap w:val="0"/>
            <w:vAlign w:val="center"/>
          </w:tcPr>
          <w:p w14:paraId="679E64EB">
            <w:pPr>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b/>
                <w:bCs/>
                <w:sz w:val="24"/>
                <w:szCs w:val="24"/>
              </w:rPr>
            </w:pPr>
            <w:r>
              <w:rPr>
                <w:rFonts w:hint="eastAsia" w:ascii="华文中宋" w:hAnsi="华文中宋" w:eastAsia="华文中宋" w:cs="华文中宋"/>
                <w:sz w:val="24"/>
                <w:szCs w:val="24"/>
              </w:rPr>
              <w:t xml:space="preserve"> </w:t>
            </w:r>
            <w:r>
              <w:rPr>
                <w:rFonts w:hint="eastAsia" w:ascii="华文中宋" w:hAnsi="华文中宋" w:eastAsia="华文中宋" w:cs="华文中宋"/>
                <w:b/>
                <w:bCs/>
                <w:sz w:val="24"/>
                <w:szCs w:val="24"/>
              </w:rPr>
              <w:t>供应商业绩</w:t>
            </w:r>
          </w:p>
          <w:p w14:paraId="1CA5C2D7">
            <w:pPr>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w:t>
            </w:r>
            <w:r>
              <w:rPr>
                <w:rFonts w:hint="eastAsia" w:ascii="华文中宋" w:hAnsi="华文中宋" w:eastAsia="华文中宋" w:cs="华文中宋"/>
                <w:b/>
                <w:bCs/>
                <w:sz w:val="24"/>
                <w:szCs w:val="24"/>
                <w:lang w:val="en-US" w:eastAsia="zh-CN"/>
              </w:rPr>
              <w:t>30</w:t>
            </w:r>
            <w:r>
              <w:rPr>
                <w:rFonts w:hint="eastAsia" w:ascii="华文中宋" w:hAnsi="华文中宋" w:eastAsia="华文中宋" w:cs="华文中宋"/>
                <w:b/>
                <w:bCs/>
                <w:sz w:val="24"/>
                <w:szCs w:val="24"/>
              </w:rPr>
              <w:t>分）</w:t>
            </w:r>
          </w:p>
          <w:p w14:paraId="41561CF6">
            <w:pPr>
              <w:pStyle w:val="2"/>
              <w:keepNext w:val="0"/>
              <w:keepLines w:val="0"/>
              <w:pageBreakBefore w:val="0"/>
              <w:kinsoku/>
              <w:wordWrap/>
              <w:overflowPunct/>
              <w:topLinePunct w:val="0"/>
              <w:bidi w:val="0"/>
              <w:adjustRightInd/>
              <w:snapToGrid/>
              <w:spacing w:line="240" w:lineRule="auto"/>
              <w:ind w:left="240" w:leftChars="0" w:hanging="240" w:hangingChars="100"/>
              <w:jc w:val="center"/>
              <w:textAlignment w:val="auto"/>
              <w:rPr>
                <w:rFonts w:hint="eastAsia" w:ascii="华文中宋" w:hAnsi="华文中宋" w:eastAsia="华文中宋" w:cs="华文中宋"/>
                <w:b/>
                <w:bCs/>
                <w:sz w:val="24"/>
                <w:szCs w:val="24"/>
                <w:lang w:val="en-US" w:eastAsia="zh-CN" w:bidi="ar"/>
              </w:rPr>
            </w:pPr>
            <w:r>
              <w:rPr>
                <w:rFonts w:hint="eastAsia" w:ascii="华文中宋" w:hAnsi="华文中宋" w:eastAsia="华文中宋" w:cs="华文中宋"/>
                <w:b/>
                <w:bCs/>
                <w:sz w:val="24"/>
                <w:szCs w:val="24"/>
                <w:lang w:bidi="ar"/>
              </w:rPr>
              <w:t>由</w:t>
            </w:r>
            <w:r>
              <w:rPr>
                <w:rFonts w:hint="eastAsia" w:ascii="华文中宋" w:hAnsi="华文中宋" w:eastAsia="华文中宋" w:cs="华文中宋"/>
                <w:b/>
                <w:bCs/>
                <w:sz w:val="24"/>
                <w:szCs w:val="24"/>
                <w:lang w:val="en-US" w:eastAsia="zh-CN" w:bidi="ar"/>
              </w:rPr>
              <w:t>评审小组</w:t>
            </w:r>
          </w:p>
          <w:p w14:paraId="4234DB7C">
            <w:pPr>
              <w:pStyle w:val="2"/>
              <w:keepNext w:val="0"/>
              <w:keepLines w:val="0"/>
              <w:pageBreakBefore w:val="0"/>
              <w:kinsoku/>
              <w:wordWrap/>
              <w:overflowPunct/>
              <w:topLinePunct w:val="0"/>
              <w:bidi w:val="0"/>
              <w:adjustRightInd/>
              <w:snapToGrid/>
              <w:spacing w:line="240" w:lineRule="auto"/>
              <w:ind w:left="240" w:leftChars="0" w:hanging="240" w:hangingChars="100"/>
              <w:jc w:val="center"/>
              <w:textAlignment w:val="auto"/>
              <w:rPr>
                <w:rFonts w:hint="eastAsia" w:ascii="华文中宋" w:hAnsi="华文中宋" w:eastAsia="华文中宋" w:cs="华文中宋"/>
                <w:sz w:val="24"/>
                <w:szCs w:val="24"/>
              </w:rPr>
            </w:pPr>
            <w:r>
              <w:rPr>
                <w:rFonts w:hint="eastAsia" w:ascii="华文中宋" w:hAnsi="华文中宋" w:eastAsia="华文中宋" w:cs="华文中宋"/>
                <w:b/>
                <w:bCs/>
                <w:sz w:val="24"/>
                <w:szCs w:val="24"/>
                <w:lang w:val="en-US" w:eastAsia="zh-CN" w:bidi="ar"/>
              </w:rPr>
              <w:t>共同</w:t>
            </w:r>
            <w:r>
              <w:rPr>
                <w:rFonts w:hint="eastAsia" w:ascii="华文中宋" w:hAnsi="华文中宋" w:eastAsia="华文中宋" w:cs="华文中宋"/>
                <w:b/>
                <w:bCs/>
                <w:sz w:val="24"/>
                <w:szCs w:val="24"/>
                <w:lang w:bidi="ar"/>
              </w:rPr>
              <w:t>认定</w:t>
            </w:r>
          </w:p>
        </w:tc>
        <w:tc>
          <w:tcPr>
            <w:tcW w:w="7401" w:type="dxa"/>
            <w:noWrap w:val="0"/>
            <w:vAlign w:val="center"/>
          </w:tcPr>
          <w:p w14:paraId="388B888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按不同的服务单位提供山西省政府采购网单项或年度委托代理协议，最多提供5个单位即可.</w:t>
            </w:r>
            <w:r>
              <w:rPr>
                <w:rFonts w:hint="eastAsia" w:ascii="仿宋_GB2312" w:hAnsi="仿宋_GB2312" w:eastAsia="仿宋_GB2312" w:cs="仿宋_GB2312"/>
                <w:kern w:val="0"/>
                <w:sz w:val="24"/>
                <w:szCs w:val="24"/>
              </w:rPr>
              <w:t>每提供一项得</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分，最高分为</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分。</w:t>
            </w:r>
          </w:p>
          <w:p w14:paraId="1B2DA10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sz w:val="24"/>
                <w:szCs w:val="24"/>
              </w:rPr>
            </w:pPr>
            <w:r>
              <w:rPr>
                <w:rFonts w:hint="eastAsia" w:ascii="仿宋_GB2312" w:hAnsi="仿宋_GB2312" w:eastAsia="仿宋_GB2312" w:cs="仿宋_GB2312"/>
                <w:sz w:val="24"/>
                <w:szCs w:val="24"/>
                <w:lang w:val="en-US" w:eastAsia="zh-CN"/>
              </w:rPr>
              <w:t>2、由于本项目为服务类，因此请按项目（可为同一单位）提供山西省财政备案的政府采购服务类项目（50万元以上）业绩，最多提供10个代理项目即可。</w:t>
            </w:r>
            <w:r>
              <w:rPr>
                <w:rFonts w:hint="eastAsia" w:ascii="仿宋_GB2312" w:hAnsi="仿宋_GB2312" w:eastAsia="仿宋_GB2312" w:cs="仿宋_GB2312"/>
                <w:kern w:val="0"/>
                <w:sz w:val="24"/>
                <w:szCs w:val="24"/>
              </w:rPr>
              <w:t>每提供一项得</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分，最高分为</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分。</w:t>
            </w:r>
          </w:p>
        </w:tc>
        <w:tc>
          <w:tcPr>
            <w:tcW w:w="793" w:type="dxa"/>
            <w:noWrap w:val="0"/>
            <w:vAlign w:val="center"/>
          </w:tcPr>
          <w:p w14:paraId="3E2922B1">
            <w:pPr>
              <w:widowControl/>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30</w:t>
            </w:r>
            <w:r>
              <w:rPr>
                <w:rFonts w:hint="eastAsia" w:ascii="华文中宋" w:hAnsi="华文中宋" w:eastAsia="华文中宋" w:cs="华文中宋"/>
                <w:sz w:val="24"/>
                <w:szCs w:val="24"/>
              </w:rPr>
              <w:t>分</w:t>
            </w:r>
          </w:p>
        </w:tc>
      </w:tr>
      <w:tr w14:paraId="2B58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1665" w:type="dxa"/>
            <w:vMerge w:val="restart"/>
            <w:noWrap w:val="0"/>
            <w:vAlign w:val="center"/>
          </w:tcPr>
          <w:p w14:paraId="2CC350AE">
            <w:pPr>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企业状况</w:t>
            </w:r>
          </w:p>
          <w:p w14:paraId="744EAE21">
            <w:pPr>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w:t>
            </w:r>
            <w:r>
              <w:rPr>
                <w:rFonts w:hint="eastAsia" w:ascii="华文中宋" w:hAnsi="华文中宋" w:eastAsia="华文中宋" w:cs="华文中宋"/>
                <w:b/>
                <w:bCs/>
                <w:kern w:val="2"/>
                <w:sz w:val="24"/>
                <w:szCs w:val="24"/>
                <w:lang w:val="en-US" w:eastAsia="zh-CN" w:bidi="ar"/>
              </w:rPr>
              <w:t>20分）</w:t>
            </w:r>
          </w:p>
          <w:p w14:paraId="0406D689">
            <w:pPr>
              <w:pStyle w:val="2"/>
              <w:keepNext w:val="0"/>
              <w:keepLines w:val="0"/>
              <w:pageBreakBefore w:val="0"/>
              <w:kinsoku/>
              <w:wordWrap/>
              <w:overflowPunct/>
              <w:topLinePunct w:val="0"/>
              <w:bidi w:val="0"/>
              <w:adjustRightInd/>
              <w:snapToGrid/>
              <w:spacing w:line="240" w:lineRule="auto"/>
              <w:ind w:left="480" w:leftChars="0" w:hanging="480" w:hangingChars="200"/>
              <w:jc w:val="center"/>
              <w:textAlignment w:val="auto"/>
              <w:rPr>
                <w:rFonts w:hint="eastAsia" w:ascii="华文中宋" w:hAnsi="华文中宋" w:eastAsia="华文中宋" w:cs="华文中宋"/>
                <w:b/>
                <w:bCs/>
                <w:sz w:val="24"/>
                <w:szCs w:val="24"/>
                <w:lang w:val="en-US" w:eastAsia="zh-CN" w:bidi="ar"/>
              </w:rPr>
            </w:pPr>
            <w:r>
              <w:rPr>
                <w:rFonts w:hint="eastAsia" w:ascii="华文中宋" w:hAnsi="华文中宋" w:eastAsia="华文中宋" w:cs="华文中宋"/>
                <w:b/>
                <w:bCs/>
                <w:sz w:val="24"/>
                <w:szCs w:val="24"/>
                <w:lang w:bidi="ar"/>
              </w:rPr>
              <w:t>由</w:t>
            </w:r>
            <w:r>
              <w:rPr>
                <w:rFonts w:hint="eastAsia" w:ascii="华文中宋" w:hAnsi="华文中宋" w:eastAsia="华文中宋" w:cs="华文中宋"/>
                <w:b/>
                <w:bCs/>
                <w:sz w:val="24"/>
                <w:szCs w:val="24"/>
                <w:lang w:val="en-US" w:eastAsia="zh-CN" w:bidi="ar"/>
              </w:rPr>
              <w:t>评审小组</w:t>
            </w:r>
          </w:p>
          <w:p w14:paraId="318F08CF">
            <w:pPr>
              <w:pStyle w:val="2"/>
              <w:keepNext w:val="0"/>
              <w:keepLines w:val="0"/>
              <w:pageBreakBefore w:val="0"/>
              <w:kinsoku/>
              <w:wordWrap/>
              <w:overflowPunct/>
              <w:topLinePunct w:val="0"/>
              <w:bidi w:val="0"/>
              <w:adjustRightInd/>
              <w:snapToGrid/>
              <w:spacing w:line="240" w:lineRule="auto"/>
              <w:ind w:left="480" w:leftChars="0" w:hanging="480" w:hangingChars="200"/>
              <w:jc w:val="center"/>
              <w:textAlignment w:val="auto"/>
              <w:rPr>
                <w:rFonts w:hint="eastAsia" w:ascii="华文中宋" w:hAnsi="华文中宋" w:eastAsia="华文中宋" w:cs="华文中宋"/>
                <w:sz w:val="24"/>
                <w:szCs w:val="24"/>
              </w:rPr>
            </w:pPr>
            <w:r>
              <w:rPr>
                <w:rFonts w:hint="eastAsia" w:ascii="华文中宋" w:hAnsi="华文中宋" w:eastAsia="华文中宋" w:cs="华文中宋"/>
                <w:b/>
                <w:bCs/>
                <w:sz w:val="24"/>
                <w:szCs w:val="24"/>
                <w:lang w:bidi="ar"/>
              </w:rPr>
              <w:t>共同认定</w:t>
            </w:r>
          </w:p>
        </w:tc>
        <w:tc>
          <w:tcPr>
            <w:tcW w:w="7401" w:type="dxa"/>
            <w:noWrap w:val="0"/>
            <w:vAlign w:val="center"/>
          </w:tcPr>
          <w:p w14:paraId="0E78F946">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1、在本地有办公场所且办公场所面积在</w:t>
            </w:r>
            <w:r>
              <w:rPr>
                <w:rFonts w:hint="eastAsia" w:ascii="仿宋_GB2312" w:hAnsi="仿宋_GB2312" w:eastAsia="仿宋_GB2312" w:cs="仿宋_GB2312"/>
                <w:kern w:val="0"/>
                <w:sz w:val="24"/>
                <w:szCs w:val="24"/>
                <w:lang w:val="en-US" w:eastAsia="zh-CN"/>
              </w:rPr>
              <w:t>100</w:t>
            </w:r>
            <w:r>
              <w:rPr>
                <w:rFonts w:hint="eastAsia" w:ascii="仿宋_GB2312" w:hAnsi="仿宋_GB2312" w:eastAsia="仿宋_GB2312" w:cs="仿宋_GB2312"/>
                <w:kern w:val="0"/>
                <w:sz w:val="24"/>
                <w:szCs w:val="24"/>
              </w:rPr>
              <w:t>到</w:t>
            </w:r>
            <w:r>
              <w:rPr>
                <w:rFonts w:hint="eastAsia" w:ascii="仿宋_GB2312" w:hAnsi="仿宋_GB2312" w:eastAsia="仿宋_GB2312" w:cs="仿宋_GB2312"/>
                <w:kern w:val="0"/>
                <w:sz w:val="24"/>
                <w:szCs w:val="24"/>
                <w:lang w:val="en-US" w:eastAsia="zh-CN"/>
              </w:rPr>
              <w:t>500</w:t>
            </w:r>
            <w:r>
              <w:rPr>
                <w:rFonts w:hint="eastAsia" w:ascii="仿宋_GB2312" w:hAnsi="仿宋_GB2312" w:eastAsia="仿宋_GB2312" w:cs="仿宋_GB2312"/>
                <w:kern w:val="0"/>
                <w:sz w:val="24"/>
                <w:szCs w:val="24"/>
              </w:rPr>
              <w:t>平米（含</w:t>
            </w:r>
            <w:r>
              <w:rPr>
                <w:rFonts w:hint="eastAsia" w:ascii="仿宋_GB2312" w:hAnsi="仿宋_GB2312" w:eastAsia="仿宋_GB2312" w:cs="仿宋_GB2312"/>
                <w:kern w:val="0"/>
                <w:sz w:val="24"/>
                <w:szCs w:val="24"/>
                <w:lang w:val="en-US" w:eastAsia="zh-CN"/>
              </w:rPr>
              <w:t>500</w:t>
            </w:r>
            <w:r>
              <w:rPr>
                <w:rFonts w:hint="eastAsia" w:ascii="仿宋_GB2312" w:hAnsi="仿宋_GB2312" w:eastAsia="仿宋_GB2312" w:cs="仿宋_GB2312"/>
                <w:kern w:val="0"/>
                <w:sz w:val="24"/>
                <w:szCs w:val="24"/>
              </w:rPr>
              <w:t>平米）的得</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val="en-US" w:eastAsia="zh-CN"/>
              </w:rPr>
              <w:t>500</w:t>
            </w:r>
            <w:r>
              <w:rPr>
                <w:rFonts w:hint="eastAsia" w:ascii="仿宋_GB2312" w:hAnsi="仿宋_GB2312" w:eastAsia="仿宋_GB2312" w:cs="仿宋_GB2312"/>
                <w:kern w:val="0"/>
                <w:sz w:val="24"/>
                <w:szCs w:val="24"/>
              </w:rPr>
              <w:t>平米到</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000平米（</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000平米）得</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000平米以上的得</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r>
              <w:rPr>
                <w:rFonts w:hint="eastAsia" w:ascii="仿宋_GB2312" w:hAnsi="仿宋_GB2312" w:eastAsia="仿宋_GB2312" w:cs="仿宋_GB2312"/>
                <w:sz w:val="24"/>
                <w:szCs w:val="24"/>
              </w:rPr>
              <w:t>说明：提供产权证或租赁协议或合同发票等证明材料，未提供不得分。</w:t>
            </w:r>
          </w:p>
          <w:p w14:paraId="68BF576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sz w:val="24"/>
                <w:szCs w:val="24"/>
              </w:rPr>
            </w:pPr>
            <w:r>
              <w:rPr>
                <w:rFonts w:hint="eastAsia" w:ascii="仿宋_GB2312" w:hAnsi="仿宋_GB2312" w:eastAsia="仿宋_GB2312" w:cs="仿宋_GB2312"/>
                <w:kern w:val="0"/>
                <w:sz w:val="24"/>
                <w:szCs w:val="24"/>
                <w:lang w:val="en-US" w:eastAsia="zh-CN"/>
              </w:rPr>
              <w:t>2、从事招标代理业务年限不足1年的，得1分;从事招标代理业务满1年不足2年的，得2分;从事招标代理业务满2年不足3年的，得3分;从事招标代理业务满3年不足5年的，得4分;从事招标代理业务5年以上的，得5分。</w:t>
            </w:r>
          </w:p>
        </w:tc>
        <w:tc>
          <w:tcPr>
            <w:tcW w:w="793" w:type="dxa"/>
            <w:noWrap w:val="0"/>
            <w:vAlign w:val="center"/>
          </w:tcPr>
          <w:p w14:paraId="5B7A86C6">
            <w:pPr>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10</w:t>
            </w:r>
            <w:r>
              <w:rPr>
                <w:rFonts w:hint="eastAsia" w:ascii="华文中宋" w:hAnsi="华文中宋" w:eastAsia="华文中宋" w:cs="华文中宋"/>
                <w:sz w:val="24"/>
                <w:szCs w:val="24"/>
              </w:rPr>
              <w:t>分</w:t>
            </w:r>
          </w:p>
        </w:tc>
      </w:tr>
      <w:tr w14:paraId="22E0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2" w:hRule="atLeast"/>
          <w:jc w:val="center"/>
        </w:trPr>
        <w:tc>
          <w:tcPr>
            <w:tcW w:w="1665" w:type="dxa"/>
            <w:vMerge w:val="continue"/>
            <w:noWrap w:val="0"/>
            <w:vAlign w:val="top"/>
          </w:tcPr>
          <w:p w14:paraId="59E76B4F">
            <w:pPr>
              <w:keepNext w:val="0"/>
              <w:keepLines w:val="0"/>
              <w:pageBreakBefore w:val="0"/>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sz w:val="24"/>
                <w:szCs w:val="24"/>
              </w:rPr>
            </w:pPr>
          </w:p>
        </w:tc>
        <w:tc>
          <w:tcPr>
            <w:tcW w:w="7401" w:type="dxa"/>
            <w:noWrap w:val="0"/>
            <w:vAlign w:val="center"/>
          </w:tcPr>
          <w:p w14:paraId="08BD5F4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b/>
                <w:bCs/>
                <w:kern w:val="0"/>
                <w:sz w:val="24"/>
                <w:szCs w:val="24"/>
              </w:rPr>
            </w:pPr>
            <w:r>
              <w:rPr>
                <w:rFonts w:hint="eastAsia" w:ascii="华文中宋" w:hAnsi="华文中宋" w:eastAsia="华文中宋" w:cs="华文中宋"/>
                <w:b/>
                <w:bCs/>
                <w:kern w:val="0"/>
                <w:sz w:val="24"/>
                <w:szCs w:val="24"/>
              </w:rPr>
              <w:t>项目人员配备：</w:t>
            </w:r>
          </w:p>
          <w:p w14:paraId="230E4A7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3、项目负责人：</w:t>
            </w:r>
          </w:p>
          <w:p w14:paraId="4FAB975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（1）具有中级职称的得1分；</w:t>
            </w:r>
          </w:p>
          <w:p w14:paraId="447A56B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（2）具有政府采购类培训证书或者证明的得2分；</w:t>
            </w:r>
          </w:p>
          <w:p w14:paraId="55CB1A0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说明：提供身份证件、职称证书、培训合格</w:t>
            </w:r>
            <w:r>
              <w:rPr>
                <w:rFonts w:hint="eastAsia" w:ascii="仿宋_GB2312" w:hAnsi="仿宋_GB2312" w:eastAsia="仿宋_GB2312" w:cs="仿宋_GB2312"/>
                <w:color w:val="auto"/>
                <w:kern w:val="0"/>
                <w:sz w:val="24"/>
                <w:szCs w:val="24"/>
              </w:rPr>
              <w:t>证、劳动合同</w:t>
            </w:r>
            <w:r>
              <w:rPr>
                <w:rFonts w:hint="eastAsia" w:ascii="仿宋_GB2312" w:hAnsi="仿宋_GB2312" w:eastAsia="仿宋_GB2312" w:cs="仿宋_GB2312"/>
                <w:kern w:val="0"/>
                <w:sz w:val="24"/>
                <w:szCs w:val="24"/>
              </w:rPr>
              <w:t>、社保交纳证明（在本单位参保人员名单内体现）。</w:t>
            </w:r>
          </w:p>
          <w:p w14:paraId="349FDEF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4、项目组成员：</w:t>
            </w:r>
          </w:p>
          <w:p w14:paraId="6F7C270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（1）项目组成员有一名具有中级或中级以上职称证书的得1分，本项最高</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p>
          <w:p w14:paraId="0492D4C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（2）项目组成员有一名具有政府采购类培训证书的得1分，本项最高</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p>
          <w:p w14:paraId="5F5B2B7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说明：提供身份证件、职称证书、培训合格证、社保交纳证明（在本单位参保人员名单内体现）。</w:t>
            </w:r>
          </w:p>
          <w:p w14:paraId="17390C5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val="zh-CN"/>
              </w:rPr>
              <w:t>法律顾问人员须提供合法有效的受聘法律顾问律师执业证书，并提供该律师所在律师事务所与供应商签署的法律服务协议（协议有效期覆盖本项目服务周期）得1分。</w:t>
            </w:r>
          </w:p>
          <w:p w14:paraId="367FABE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kern w:val="0"/>
                <w:sz w:val="24"/>
                <w:szCs w:val="24"/>
                <w:lang w:val="en-US" w:eastAsia="zh-CN"/>
              </w:rPr>
            </w:pPr>
            <w:r>
              <w:rPr>
                <w:rFonts w:hint="eastAsia" w:ascii="仿宋_GB2312" w:hAnsi="仿宋_GB2312" w:eastAsia="仿宋_GB2312" w:cs="仿宋_GB2312"/>
                <w:kern w:val="0"/>
                <w:sz w:val="24"/>
                <w:szCs w:val="24"/>
                <w:lang w:val="zh-CN"/>
              </w:rPr>
              <w:t>说明： 以律师职业证书、法律服务协议为准</w:t>
            </w:r>
            <w:r>
              <w:rPr>
                <w:rFonts w:hint="eastAsia" w:ascii="仿宋_GB2312" w:hAnsi="仿宋_GB2312" w:eastAsia="仿宋_GB2312" w:cs="仿宋_GB2312"/>
                <w:kern w:val="0"/>
                <w:sz w:val="24"/>
                <w:szCs w:val="24"/>
                <w:lang w:val="en-US" w:eastAsia="zh-CN"/>
              </w:rPr>
              <w:t>。</w:t>
            </w:r>
          </w:p>
        </w:tc>
        <w:tc>
          <w:tcPr>
            <w:tcW w:w="793" w:type="dxa"/>
            <w:noWrap w:val="0"/>
            <w:vAlign w:val="center"/>
          </w:tcPr>
          <w:p w14:paraId="44845247">
            <w:pPr>
              <w:autoSpaceDE w:val="0"/>
              <w:autoSpaceDN w:val="0"/>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cs="华文中宋"/>
                <w:sz w:val="24"/>
                <w:szCs w:val="24"/>
                <w:lang w:val="en-US" w:eastAsia="zh-CN"/>
              </w:rPr>
              <w:t>0</w:t>
            </w:r>
            <w:r>
              <w:rPr>
                <w:rFonts w:hint="eastAsia" w:ascii="华文中宋" w:hAnsi="华文中宋" w:eastAsia="华文中宋" w:cs="华文中宋"/>
                <w:sz w:val="24"/>
                <w:szCs w:val="24"/>
              </w:rPr>
              <w:t>分</w:t>
            </w:r>
          </w:p>
        </w:tc>
      </w:tr>
      <w:tr w14:paraId="15CE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5" w:type="dxa"/>
            <w:vMerge w:val="restart"/>
            <w:noWrap w:val="0"/>
            <w:vAlign w:val="center"/>
          </w:tcPr>
          <w:p w14:paraId="7DC570F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招标代理方案（</w:t>
            </w:r>
            <w:r>
              <w:rPr>
                <w:rFonts w:hint="eastAsia" w:ascii="华文中宋" w:hAnsi="华文中宋" w:eastAsia="华文中宋" w:cs="华文中宋"/>
                <w:b/>
                <w:bCs/>
                <w:sz w:val="24"/>
                <w:szCs w:val="24"/>
                <w:lang w:val="en-US" w:eastAsia="zh-CN"/>
              </w:rPr>
              <w:t>40</w:t>
            </w:r>
            <w:r>
              <w:rPr>
                <w:rFonts w:hint="eastAsia" w:ascii="华文中宋" w:hAnsi="华文中宋" w:eastAsia="华文中宋" w:cs="华文中宋"/>
                <w:b/>
                <w:bCs/>
                <w:sz w:val="24"/>
                <w:szCs w:val="24"/>
              </w:rPr>
              <w:t>分）</w:t>
            </w:r>
          </w:p>
          <w:p w14:paraId="1C90B49B">
            <w:pPr>
              <w:pStyle w:val="11"/>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b/>
                <w:bCs/>
                <w:kern w:val="2"/>
                <w:sz w:val="24"/>
                <w:szCs w:val="24"/>
                <w:lang w:val="en-US" w:eastAsia="zh-CN" w:bidi="ar"/>
              </w:rPr>
            </w:pPr>
            <w:r>
              <w:rPr>
                <w:rFonts w:hint="eastAsia" w:ascii="华文中宋" w:hAnsi="华文中宋" w:eastAsia="华文中宋" w:cs="华文中宋"/>
                <w:b/>
                <w:bCs/>
                <w:kern w:val="2"/>
                <w:sz w:val="24"/>
                <w:szCs w:val="24"/>
                <w:lang w:bidi="ar"/>
              </w:rPr>
              <w:t>由</w:t>
            </w:r>
            <w:r>
              <w:rPr>
                <w:rFonts w:hint="eastAsia" w:ascii="华文中宋" w:hAnsi="华文中宋" w:eastAsia="华文中宋" w:cs="华文中宋"/>
                <w:b/>
                <w:bCs/>
                <w:kern w:val="2"/>
                <w:sz w:val="24"/>
                <w:szCs w:val="24"/>
                <w:lang w:val="en-US" w:eastAsia="zh-CN" w:bidi="ar"/>
              </w:rPr>
              <w:t>评审小组</w:t>
            </w:r>
          </w:p>
          <w:p w14:paraId="3BF7AE2D">
            <w:pPr>
              <w:pStyle w:val="11"/>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sz w:val="24"/>
                <w:szCs w:val="24"/>
              </w:rPr>
            </w:pPr>
            <w:r>
              <w:rPr>
                <w:rFonts w:hint="eastAsia" w:ascii="华文中宋" w:hAnsi="华文中宋" w:eastAsia="华文中宋" w:cs="华文中宋"/>
                <w:b/>
                <w:bCs/>
                <w:kern w:val="2"/>
                <w:sz w:val="24"/>
                <w:szCs w:val="24"/>
                <w:lang w:bidi="ar"/>
              </w:rPr>
              <w:t>成员自主打分</w:t>
            </w:r>
          </w:p>
        </w:tc>
        <w:tc>
          <w:tcPr>
            <w:tcW w:w="7401" w:type="dxa"/>
            <w:noWrap w:val="0"/>
            <w:vAlign w:val="center"/>
          </w:tcPr>
          <w:p w14:paraId="2EEE8CC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招标工作程序详细描述：</w:t>
            </w:r>
          </w:p>
          <w:p w14:paraId="06B58C4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有工作流程图；</w:t>
            </w:r>
          </w:p>
          <w:p w14:paraId="77332F2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有清晰的工作流程说明；</w:t>
            </w:r>
          </w:p>
          <w:p w14:paraId="411D24F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工作流程图清晰完整；流程说明与流程图匹配；关键节点标注法律依据。依据工作流程说明的合理、合规、合法、完善程度</w:t>
            </w:r>
            <w:r>
              <w:rPr>
                <w:rFonts w:hint="eastAsia" w:ascii="仿宋_GB2312" w:hAnsi="仿宋_GB2312" w:eastAsia="仿宋_GB2312" w:cs="仿宋_GB2312"/>
                <w:kern w:val="0"/>
                <w:sz w:val="24"/>
                <w:szCs w:val="24"/>
                <w:lang w:val="zh-CN"/>
              </w:rPr>
              <w:t>进行量化评分</w:t>
            </w:r>
          </w:p>
          <w:p w14:paraId="3287A38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流程图和流程说明完整详实、科学有效、符合项目实际得（</w:t>
            </w:r>
            <w:r>
              <w:rPr>
                <w:rFonts w:hint="eastAsia" w:ascii="仿宋_GB2312" w:hAnsi="仿宋_GB2312" w:eastAsia="仿宋_GB2312" w:cs="仿宋_GB2312"/>
                <w:kern w:val="0"/>
                <w:sz w:val="24"/>
                <w:szCs w:val="24"/>
                <w:lang w:val="en-US" w:eastAsia="zh-CN"/>
              </w:rPr>
              <w:t>10分）；</w:t>
            </w:r>
          </w:p>
          <w:p w14:paraId="1A90BAA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流程图和流程说明要素齐全，部分符合项目实际得（7分）；</w:t>
            </w:r>
          </w:p>
          <w:p w14:paraId="6D2BD05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流程图和流程说明有缺项，不符合项目实际得（3分）；</w:t>
            </w:r>
          </w:p>
          <w:p w14:paraId="2E8F485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sz w:val="24"/>
                <w:szCs w:val="24"/>
              </w:rPr>
            </w:pPr>
            <w:r>
              <w:rPr>
                <w:rFonts w:hint="eastAsia" w:ascii="仿宋_GB2312" w:hAnsi="仿宋_GB2312" w:eastAsia="仿宋_GB2312" w:cs="仿宋_GB2312"/>
                <w:kern w:val="0"/>
                <w:sz w:val="24"/>
                <w:szCs w:val="24"/>
                <w:lang w:val="en-US" w:eastAsia="zh-CN"/>
              </w:rPr>
              <w:t>没有流程图和工作流程说明不得分。</w:t>
            </w:r>
          </w:p>
        </w:tc>
        <w:tc>
          <w:tcPr>
            <w:tcW w:w="793" w:type="dxa"/>
            <w:noWrap w:val="0"/>
            <w:vAlign w:val="center"/>
          </w:tcPr>
          <w:p w14:paraId="12AE4226">
            <w:pPr>
              <w:autoSpaceDE w:val="0"/>
              <w:autoSpaceDN w:val="0"/>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10</w:t>
            </w:r>
            <w:r>
              <w:rPr>
                <w:rFonts w:hint="eastAsia" w:ascii="华文中宋" w:hAnsi="华文中宋" w:eastAsia="华文中宋" w:cs="华文中宋"/>
                <w:sz w:val="24"/>
                <w:szCs w:val="24"/>
              </w:rPr>
              <w:t>分</w:t>
            </w:r>
          </w:p>
        </w:tc>
      </w:tr>
      <w:tr w14:paraId="1D7C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5" w:type="dxa"/>
            <w:vMerge w:val="continue"/>
            <w:noWrap w:val="0"/>
            <w:vAlign w:val="top"/>
          </w:tcPr>
          <w:p w14:paraId="552A32B6">
            <w:pPr>
              <w:keepNext w:val="0"/>
              <w:keepLines w:val="0"/>
              <w:pageBreakBefore w:val="0"/>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sz w:val="24"/>
                <w:szCs w:val="24"/>
              </w:rPr>
            </w:pPr>
          </w:p>
        </w:tc>
        <w:tc>
          <w:tcPr>
            <w:tcW w:w="7401" w:type="dxa"/>
            <w:noWrap w:val="0"/>
            <w:vAlign w:val="center"/>
          </w:tcPr>
          <w:p w14:paraId="3489CAF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招标工作进度保障措施：</w:t>
            </w:r>
          </w:p>
          <w:p w14:paraId="7E588FC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包括拟配备服务团队人员保障措施、硬件保障措施、内部奖惩措施、应急保障措施、</w:t>
            </w:r>
            <w:r>
              <w:rPr>
                <w:rFonts w:hint="eastAsia" w:ascii="仿宋_GB2312" w:hAnsi="仿宋_GB2312" w:eastAsia="仿宋_GB2312" w:cs="仿宋_GB2312"/>
                <w:kern w:val="0"/>
                <w:sz w:val="24"/>
                <w:szCs w:val="24"/>
                <w:lang w:val="zh-CN" w:eastAsia="zh-CN"/>
              </w:rPr>
              <w:t>突发事件处理预案措施</w:t>
            </w:r>
            <w:r>
              <w:rPr>
                <w:rFonts w:hint="eastAsia" w:ascii="仿宋_GB2312" w:hAnsi="仿宋_GB2312" w:eastAsia="仿宋_GB2312" w:cs="仿宋_GB2312"/>
                <w:kern w:val="0"/>
                <w:sz w:val="24"/>
                <w:szCs w:val="24"/>
                <w:lang w:val="zh-CN"/>
              </w:rPr>
              <w:t>等内容进行量化评分。</w:t>
            </w:r>
          </w:p>
          <w:p w14:paraId="06024A6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zh-CN"/>
              </w:rPr>
              <w:t>内容覆盖全面，各项要素齐全，结构完整，完全具备可操作性得（</w:t>
            </w:r>
            <w:r>
              <w:rPr>
                <w:rFonts w:hint="eastAsia" w:ascii="仿宋_GB2312" w:hAnsi="仿宋_GB2312" w:eastAsia="仿宋_GB2312" w:cs="仿宋_GB2312"/>
                <w:kern w:val="0"/>
                <w:sz w:val="24"/>
                <w:szCs w:val="24"/>
                <w:lang w:val="en-US" w:eastAsia="zh-CN"/>
              </w:rPr>
              <w:t>10分）；</w:t>
            </w:r>
          </w:p>
          <w:p w14:paraId="42C6BE4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内容覆盖主要要素，但个别方面略有缺失或过于简略，但部分细节不够具体或可行性稍差得（7分）；</w:t>
            </w:r>
          </w:p>
          <w:p w14:paraId="74CAE52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有相关内容，但缺项较多，内容较为笼统，缺乏具体内容和操作性得（3分）；</w:t>
            </w:r>
          </w:p>
          <w:p w14:paraId="3092679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kern w:val="0"/>
                <w:sz w:val="24"/>
                <w:szCs w:val="24"/>
              </w:rPr>
            </w:pPr>
            <w:r>
              <w:rPr>
                <w:rFonts w:hint="eastAsia" w:ascii="仿宋_GB2312" w:hAnsi="仿宋_GB2312" w:eastAsia="仿宋_GB2312" w:cs="仿宋_GB2312"/>
                <w:kern w:val="0"/>
                <w:sz w:val="24"/>
                <w:szCs w:val="24"/>
                <w:lang w:val="en-US" w:eastAsia="zh-CN"/>
              </w:rPr>
              <w:t>无相关措施不得分。</w:t>
            </w:r>
          </w:p>
        </w:tc>
        <w:tc>
          <w:tcPr>
            <w:tcW w:w="793" w:type="dxa"/>
            <w:noWrap w:val="0"/>
            <w:vAlign w:val="center"/>
          </w:tcPr>
          <w:p w14:paraId="20637385">
            <w:pPr>
              <w:autoSpaceDE w:val="0"/>
              <w:autoSpaceDN w:val="0"/>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10</w:t>
            </w:r>
            <w:r>
              <w:rPr>
                <w:rFonts w:hint="eastAsia" w:ascii="华文中宋" w:hAnsi="华文中宋" w:eastAsia="华文中宋" w:cs="华文中宋"/>
                <w:sz w:val="24"/>
                <w:szCs w:val="24"/>
              </w:rPr>
              <w:t>分</w:t>
            </w:r>
          </w:p>
        </w:tc>
      </w:tr>
      <w:tr w14:paraId="3A15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5" w:type="dxa"/>
            <w:vMerge w:val="continue"/>
            <w:noWrap w:val="0"/>
            <w:vAlign w:val="top"/>
          </w:tcPr>
          <w:p w14:paraId="7A6BC294">
            <w:pPr>
              <w:keepNext w:val="0"/>
              <w:keepLines w:val="0"/>
              <w:pageBreakBefore w:val="0"/>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sz w:val="24"/>
                <w:szCs w:val="24"/>
              </w:rPr>
            </w:pPr>
          </w:p>
        </w:tc>
        <w:tc>
          <w:tcPr>
            <w:tcW w:w="7401" w:type="dxa"/>
            <w:noWrap w:val="0"/>
            <w:vAlign w:val="center"/>
          </w:tcPr>
          <w:p w14:paraId="4446618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招标工作</w:t>
            </w:r>
            <w:r>
              <w:rPr>
                <w:rFonts w:hint="eastAsia" w:ascii="仿宋_GB2312" w:hAnsi="仿宋_GB2312" w:eastAsia="仿宋_GB2312" w:cs="仿宋_GB2312"/>
                <w:kern w:val="0"/>
                <w:sz w:val="24"/>
                <w:szCs w:val="24"/>
                <w:lang w:val="en-US" w:eastAsia="zh-CN"/>
              </w:rPr>
              <w:t>质量</w:t>
            </w:r>
            <w:r>
              <w:rPr>
                <w:rFonts w:hint="eastAsia" w:ascii="仿宋_GB2312" w:hAnsi="仿宋_GB2312" w:eastAsia="仿宋_GB2312" w:cs="仿宋_GB2312"/>
                <w:kern w:val="0"/>
                <w:sz w:val="24"/>
                <w:szCs w:val="24"/>
                <w:lang w:val="zh-CN"/>
              </w:rPr>
              <w:t>保障措施：</w:t>
            </w:r>
          </w:p>
          <w:p w14:paraId="7DCB217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包括采购文件制作、投标人（供应商）报名、评标（评审）专家抽取、评标（评审）环节、档案管理各环节的质量保障措施进行量化评分。</w:t>
            </w:r>
          </w:p>
          <w:p w14:paraId="5503F99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zh-CN"/>
              </w:rPr>
              <w:t>质量措施内容全面、要素齐全、结构完整，完全具备可操作性得（</w:t>
            </w:r>
            <w:r>
              <w:rPr>
                <w:rFonts w:hint="eastAsia" w:ascii="仿宋_GB2312" w:hAnsi="仿宋_GB2312" w:eastAsia="仿宋_GB2312" w:cs="仿宋_GB2312"/>
                <w:kern w:val="0"/>
                <w:sz w:val="24"/>
                <w:szCs w:val="24"/>
                <w:lang w:val="en-US" w:eastAsia="zh-CN"/>
              </w:rPr>
              <w:t>10分）；</w:t>
            </w:r>
          </w:p>
          <w:p w14:paraId="1440E82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内容覆盖主要要素，但个别方面略有缺失或过于简略，但部分细节不够具体或可行性稍差得（7分）；</w:t>
            </w:r>
          </w:p>
          <w:p w14:paraId="5CBDD9A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有相关内容，但缺项较多，内容较为笼统，缺乏具体内容和操作性得（3分）；</w:t>
            </w:r>
          </w:p>
          <w:p w14:paraId="233D390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kern w:val="0"/>
                <w:sz w:val="24"/>
                <w:szCs w:val="24"/>
                <w:lang w:val="zh-CN"/>
              </w:rPr>
            </w:pPr>
            <w:r>
              <w:rPr>
                <w:rFonts w:hint="eastAsia" w:ascii="仿宋_GB2312" w:hAnsi="仿宋_GB2312" w:eastAsia="仿宋_GB2312" w:cs="仿宋_GB2312"/>
                <w:kern w:val="0"/>
                <w:sz w:val="24"/>
                <w:szCs w:val="24"/>
                <w:lang w:val="en-US" w:eastAsia="zh-CN"/>
              </w:rPr>
              <w:t>无相关措施不得分。</w:t>
            </w:r>
          </w:p>
        </w:tc>
        <w:tc>
          <w:tcPr>
            <w:tcW w:w="793" w:type="dxa"/>
            <w:noWrap w:val="0"/>
            <w:vAlign w:val="center"/>
          </w:tcPr>
          <w:p w14:paraId="6304C0AA">
            <w:pPr>
              <w:autoSpaceDE w:val="0"/>
              <w:autoSpaceDN w:val="0"/>
              <w:spacing w:line="480" w:lineRule="auto"/>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10</w:t>
            </w:r>
            <w:r>
              <w:rPr>
                <w:rFonts w:hint="eastAsia" w:ascii="华文中宋" w:hAnsi="华文中宋" w:eastAsia="华文中宋" w:cs="华文中宋"/>
                <w:sz w:val="24"/>
                <w:szCs w:val="24"/>
              </w:rPr>
              <w:t>分</w:t>
            </w:r>
          </w:p>
        </w:tc>
      </w:tr>
      <w:tr w14:paraId="6E6B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5" w:type="dxa"/>
            <w:vMerge w:val="continue"/>
            <w:noWrap w:val="0"/>
            <w:vAlign w:val="top"/>
          </w:tcPr>
          <w:p w14:paraId="24C49FDE">
            <w:pPr>
              <w:keepNext w:val="0"/>
              <w:keepLines w:val="0"/>
              <w:pageBreakBefore w:val="0"/>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sz w:val="24"/>
                <w:szCs w:val="24"/>
              </w:rPr>
            </w:pPr>
          </w:p>
        </w:tc>
        <w:tc>
          <w:tcPr>
            <w:tcW w:w="7401" w:type="dxa"/>
            <w:noWrap w:val="0"/>
            <w:vAlign w:val="center"/>
          </w:tcPr>
          <w:p w14:paraId="603237E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zh-CN" w:eastAsia="zh-CN"/>
              </w:rPr>
            </w:pPr>
            <w:r>
              <w:rPr>
                <w:rFonts w:hint="eastAsia" w:ascii="仿宋_GB2312" w:hAnsi="仿宋_GB2312" w:eastAsia="仿宋_GB2312" w:cs="仿宋_GB2312"/>
                <w:kern w:val="0"/>
                <w:sz w:val="24"/>
                <w:szCs w:val="24"/>
                <w:lang w:val="zh-CN"/>
              </w:rPr>
              <w:t>质疑、投诉处理措施</w:t>
            </w:r>
            <w:r>
              <w:rPr>
                <w:rFonts w:hint="eastAsia" w:ascii="仿宋_GB2312" w:hAnsi="仿宋_GB2312" w:eastAsia="仿宋_GB2312" w:cs="仿宋_GB2312"/>
                <w:kern w:val="0"/>
                <w:sz w:val="24"/>
                <w:szCs w:val="24"/>
                <w:lang w:val="zh-CN" w:eastAsia="zh-CN"/>
              </w:rPr>
              <w:t>：</w:t>
            </w:r>
          </w:p>
          <w:p w14:paraId="1C258A7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根据供应商提供的处理质疑投诉经验、质疑投诉的管理办法、协助采购人处理质疑及协助采购人进行投诉的回复和协调的措施及承诺完整性、合理性、科学性、可行性进行量化评分。</w:t>
            </w:r>
          </w:p>
          <w:p w14:paraId="2295B56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zh-CN"/>
              </w:rPr>
              <w:t>措施要素完整，方法科学有效，细节具体，具备可操作性得（</w:t>
            </w:r>
            <w:r>
              <w:rPr>
                <w:rFonts w:hint="eastAsia" w:ascii="仿宋_GB2312" w:hAnsi="仿宋_GB2312" w:eastAsia="仿宋_GB2312" w:cs="仿宋_GB2312"/>
                <w:kern w:val="0"/>
                <w:sz w:val="24"/>
                <w:szCs w:val="24"/>
                <w:lang w:val="en-US" w:eastAsia="zh-CN"/>
              </w:rPr>
              <w:t>10分）；</w:t>
            </w:r>
          </w:p>
          <w:p w14:paraId="3875C47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措施要素大致完整，个别方面有缺项，部分细节不够具体，可操作性较差得（7分）；</w:t>
            </w:r>
          </w:p>
          <w:p w14:paraId="54F03C9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措施要素缺项较多，缺乏具体内容和操作性得（3分）；</w:t>
            </w:r>
          </w:p>
          <w:p w14:paraId="2A17174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kern w:val="0"/>
                <w:sz w:val="24"/>
                <w:szCs w:val="24"/>
                <w:lang w:val="zh-CN"/>
              </w:rPr>
            </w:pPr>
            <w:r>
              <w:rPr>
                <w:rFonts w:hint="eastAsia" w:ascii="仿宋_GB2312" w:hAnsi="仿宋_GB2312" w:eastAsia="仿宋_GB2312" w:cs="仿宋_GB2312"/>
                <w:kern w:val="0"/>
                <w:sz w:val="24"/>
                <w:szCs w:val="24"/>
                <w:lang w:val="en-US" w:eastAsia="zh-CN"/>
              </w:rPr>
              <w:t>无相关措施不得分。</w:t>
            </w:r>
          </w:p>
        </w:tc>
        <w:tc>
          <w:tcPr>
            <w:tcW w:w="793" w:type="dxa"/>
            <w:noWrap w:val="0"/>
            <w:vAlign w:val="center"/>
          </w:tcPr>
          <w:p w14:paraId="246B5A6E">
            <w:pPr>
              <w:autoSpaceDE w:val="0"/>
              <w:autoSpaceDN w:val="0"/>
              <w:spacing w:line="480" w:lineRule="auto"/>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10分</w:t>
            </w:r>
          </w:p>
        </w:tc>
      </w:tr>
      <w:tr w14:paraId="20C9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65" w:type="dxa"/>
            <w:noWrap w:val="0"/>
            <w:vAlign w:val="center"/>
          </w:tcPr>
          <w:p w14:paraId="5506CBC2">
            <w:pPr>
              <w:pStyle w:val="11"/>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b/>
                <w:bCs/>
                <w:kern w:val="2"/>
                <w:sz w:val="24"/>
                <w:szCs w:val="24"/>
                <w:lang w:eastAsia="zh-CN" w:bidi="ar"/>
              </w:rPr>
            </w:pPr>
            <w:r>
              <w:rPr>
                <w:rFonts w:hint="eastAsia" w:ascii="华文中宋" w:hAnsi="华文中宋" w:eastAsia="华文中宋" w:cs="华文中宋"/>
                <w:b/>
                <w:bCs/>
                <w:kern w:val="2"/>
                <w:sz w:val="24"/>
                <w:szCs w:val="24"/>
                <w:lang w:eastAsia="zh-CN" w:bidi="ar"/>
              </w:rPr>
              <w:t>响应报价</w:t>
            </w:r>
          </w:p>
          <w:p w14:paraId="45F5963F">
            <w:pPr>
              <w:pStyle w:val="11"/>
              <w:keepNext w:val="0"/>
              <w:keepLines w:val="0"/>
              <w:pageBreakBefore w:val="0"/>
              <w:kinsoku/>
              <w:wordWrap/>
              <w:overflowPunct/>
              <w:topLinePunct w:val="0"/>
              <w:bidi w:val="0"/>
              <w:adjustRightInd/>
              <w:snapToGrid/>
              <w:spacing w:line="240" w:lineRule="auto"/>
              <w:jc w:val="center"/>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kern w:val="2"/>
                <w:sz w:val="24"/>
                <w:szCs w:val="24"/>
                <w:lang w:val="en-US" w:eastAsia="zh-CN" w:bidi="ar"/>
              </w:rPr>
              <w:t>（5分）</w:t>
            </w:r>
          </w:p>
        </w:tc>
        <w:tc>
          <w:tcPr>
            <w:tcW w:w="7401" w:type="dxa"/>
            <w:noWrap w:val="0"/>
            <w:vAlign w:val="center"/>
          </w:tcPr>
          <w:p w14:paraId="0B736D0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华文中宋" w:hAnsi="华文中宋" w:eastAsia="华文中宋" w:cs="华文中宋"/>
                <w:kern w:val="0"/>
                <w:sz w:val="24"/>
                <w:szCs w:val="24"/>
                <w:lang w:val="zh-CN" w:eastAsia="zh-CN" w:bidi="ar-SA"/>
              </w:rPr>
            </w:pPr>
            <w:r>
              <w:rPr>
                <w:rFonts w:hint="eastAsia" w:ascii="仿宋_GB2312" w:hAnsi="仿宋_GB2312" w:eastAsia="仿宋_GB2312" w:cs="仿宋_GB2312"/>
                <w:kern w:val="0"/>
                <w:sz w:val="24"/>
                <w:szCs w:val="24"/>
                <w:lang w:val="en-US" w:eastAsia="zh-CN"/>
              </w:rPr>
              <w:t>参照《招标代理服务收费管理暂行办法》（计价格〔2002〕1980号）有关规定，代理费用报价每下浮1%，得1分，满分5分。</w:t>
            </w:r>
          </w:p>
        </w:tc>
        <w:tc>
          <w:tcPr>
            <w:tcW w:w="793" w:type="dxa"/>
            <w:noWrap w:val="0"/>
            <w:vAlign w:val="center"/>
          </w:tcPr>
          <w:p w14:paraId="65571A84">
            <w:pPr>
              <w:autoSpaceDE w:val="0"/>
              <w:autoSpaceDN w:val="0"/>
              <w:spacing w:line="480" w:lineRule="auto"/>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5分</w:t>
            </w:r>
          </w:p>
        </w:tc>
      </w:tr>
      <w:tr w14:paraId="18E7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665" w:type="dxa"/>
            <w:vMerge w:val="restart"/>
            <w:noWrap w:val="0"/>
            <w:vAlign w:val="center"/>
          </w:tcPr>
          <w:p w14:paraId="1D464E3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华文中宋" w:hAnsi="华文中宋" w:eastAsia="华文中宋" w:cs="华文中宋"/>
                <w:b/>
                <w:sz w:val="24"/>
                <w:szCs w:val="24"/>
                <w:lang w:eastAsia="zh-CN"/>
              </w:rPr>
            </w:pPr>
            <w:r>
              <w:rPr>
                <w:rFonts w:hint="eastAsia" w:ascii="华文中宋" w:hAnsi="华文中宋" w:eastAsia="华文中宋" w:cs="华文中宋"/>
                <w:b/>
                <w:sz w:val="24"/>
                <w:szCs w:val="24"/>
                <w:lang w:eastAsia="zh-CN"/>
              </w:rPr>
              <w:t>服务承诺</w:t>
            </w:r>
          </w:p>
          <w:p w14:paraId="10F242A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华文中宋" w:hAnsi="华文中宋" w:eastAsia="华文中宋" w:cs="华文中宋"/>
                <w:b/>
                <w:sz w:val="24"/>
                <w:szCs w:val="24"/>
                <w:lang w:eastAsia="zh-CN"/>
              </w:rPr>
            </w:pPr>
            <w:r>
              <w:rPr>
                <w:rFonts w:hint="eastAsia" w:ascii="华文中宋" w:hAnsi="华文中宋" w:eastAsia="华文中宋" w:cs="华文中宋"/>
                <w:b/>
                <w:bCs/>
                <w:sz w:val="24"/>
                <w:szCs w:val="24"/>
              </w:rPr>
              <w:t>（</w:t>
            </w:r>
            <w:r>
              <w:rPr>
                <w:rFonts w:hint="eastAsia" w:ascii="华文中宋" w:hAnsi="华文中宋" w:eastAsia="华文中宋" w:cs="华文中宋"/>
                <w:b/>
                <w:bCs/>
                <w:sz w:val="24"/>
                <w:szCs w:val="24"/>
                <w:lang w:val="en-US" w:eastAsia="zh-CN"/>
              </w:rPr>
              <w:t>5</w:t>
            </w:r>
            <w:r>
              <w:rPr>
                <w:rFonts w:hint="eastAsia" w:ascii="华文中宋" w:hAnsi="华文中宋" w:eastAsia="华文中宋" w:cs="华文中宋"/>
                <w:b/>
                <w:bCs/>
                <w:sz w:val="24"/>
                <w:szCs w:val="24"/>
              </w:rPr>
              <w:t>分）</w:t>
            </w:r>
          </w:p>
        </w:tc>
        <w:tc>
          <w:tcPr>
            <w:tcW w:w="7401" w:type="dxa"/>
            <w:noWrap w:val="0"/>
            <w:vAlign w:val="center"/>
          </w:tcPr>
          <w:p w14:paraId="4B386975">
            <w:pPr>
              <w:pStyle w:val="4"/>
              <w:keepNext w:val="0"/>
              <w:keepLines w:val="0"/>
              <w:pageBreakBefore w:val="0"/>
              <w:widowControl w:val="0"/>
              <w:kinsoku/>
              <w:wordWrap/>
              <w:overflowPunct/>
              <w:topLinePunct w:val="0"/>
              <w:bidi w:val="0"/>
              <w:adjustRightInd/>
              <w:snapToGrid/>
              <w:spacing w:line="240" w:lineRule="auto"/>
              <w:jc w:val="both"/>
              <w:textAlignment w:val="auto"/>
              <w:rPr>
                <w:rFonts w:hint="default" w:ascii="华文中宋" w:hAnsi="华文中宋" w:eastAsia="华文中宋" w:cs="华文中宋"/>
                <w:kern w:val="0"/>
                <w:sz w:val="24"/>
                <w:szCs w:val="24"/>
                <w:lang w:val="en-US" w:eastAsia="zh-CN" w:bidi="ar-SA"/>
              </w:rPr>
            </w:pPr>
            <w:r>
              <w:rPr>
                <w:rFonts w:hint="eastAsia" w:ascii="仿宋_GB2312" w:hAnsi="仿宋_GB2312" w:eastAsia="仿宋_GB2312" w:cs="仿宋_GB2312"/>
                <w:kern w:val="0"/>
                <w:sz w:val="24"/>
                <w:szCs w:val="24"/>
                <w:lang w:val="zh-CN" w:eastAsia="zh-CN" w:bidi="ar-SA"/>
              </w:rPr>
              <w:t>供应商提供的</w:t>
            </w:r>
            <w:r>
              <w:rPr>
                <w:rFonts w:hint="eastAsia" w:ascii="仿宋_GB2312" w:hAnsi="仿宋_GB2312" w:eastAsia="仿宋_GB2312" w:cs="仿宋_GB2312"/>
                <w:kern w:val="0"/>
                <w:sz w:val="24"/>
                <w:szCs w:val="24"/>
                <w:lang w:val="en-US" w:eastAsia="zh-CN" w:bidi="ar-SA"/>
              </w:rPr>
              <w:t>保密承诺</w:t>
            </w:r>
            <w:r>
              <w:rPr>
                <w:rFonts w:hint="eastAsia" w:ascii="仿宋_GB2312" w:hAnsi="仿宋_GB2312" w:eastAsia="仿宋_GB2312" w:cs="仿宋_GB2312"/>
                <w:kern w:val="0"/>
                <w:sz w:val="24"/>
                <w:szCs w:val="24"/>
                <w:lang w:val="zh-CN" w:eastAsia="zh-CN"/>
              </w:rPr>
              <w:t>，承诺在服务过程中对涉及到的国家秘密、商业秘密和个人隐私信息等需保密的信息进行保密，并对泄密造成的后果承担法律责任的得3分；未提供或提供不全不得分。</w:t>
            </w:r>
          </w:p>
        </w:tc>
        <w:tc>
          <w:tcPr>
            <w:tcW w:w="793" w:type="dxa"/>
            <w:noWrap w:val="0"/>
            <w:vAlign w:val="center"/>
          </w:tcPr>
          <w:p w14:paraId="7183BCDA">
            <w:pPr>
              <w:autoSpaceDE w:val="0"/>
              <w:autoSpaceDN w:val="0"/>
              <w:spacing w:line="480" w:lineRule="auto"/>
              <w:jc w:val="cente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3分</w:t>
            </w:r>
          </w:p>
        </w:tc>
      </w:tr>
      <w:tr w14:paraId="1FF7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65" w:type="dxa"/>
            <w:vMerge w:val="continue"/>
            <w:noWrap w:val="0"/>
            <w:vAlign w:val="top"/>
          </w:tcPr>
          <w:p w14:paraId="72854415">
            <w:pPr>
              <w:keepNext w:val="0"/>
              <w:keepLines w:val="0"/>
              <w:pageBreakBefore w:val="0"/>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sz w:val="24"/>
                <w:szCs w:val="24"/>
              </w:rPr>
            </w:pPr>
          </w:p>
        </w:tc>
        <w:tc>
          <w:tcPr>
            <w:tcW w:w="7401" w:type="dxa"/>
            <w:noWrap w:val="0"/>
            <w:vAlign w:val="center"/>
          </w:tcPr>
          <w:p w14:paraId="1E6483C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华文中宋" w:hAnsi="华文中宋" w:eastAsia="华文中宋" w:cs="华文中宋"/>
                <w:kern w:val="0"/>
                <w:sz w:val="24"/>
                <w:szCs w:val="24"/>
                <w:lang w:val="en-US" w:eastAsia="zh-CN"/>
              </w:rPr>
            </w:pPr>
            <w:r>
              <w:rPr>
                <w:rFonts w:hint="eastAsia" w:ascii="仿宋_GB2312" w:hAnsi="仿宋_GB2312" w:eastAsia="仿宋_GB2312" w:cs="仿宋_GB2312"/>
                <w:kern w:val="0"/>
                <w:sz w:val="24"/>
                <w:szCs w:val="24"/>
                <w:lang w:val="zh-CN" w:eastAsia="zh-CN"/>
              </w:rPr>
              <w:t>供应商提供的</w:t>
            </w:r>
            <w:r>
              <w:rPr>
                <w:rFonts w:hint="eastAsia" w:ascii="仿宋_GB2312" w:hAnsi="仿宋_GB2312" w:eastAsia="仿宋_GB2312" w:cs="仿宋_GB2312"/>
                <w:kern w:val="0"/>
                <w:sz w:val="24"/>
                <w:szCs w:val="24"/>
                <w:lang w:val="en-US" w:eastAsia="zh-CN"/>
              </w:rPr>
              <w:t>信誉和廉洁承诺</w:t>
            </w:r>
            <w:r>
              <w:rPr>
                <w:rFonts w:hint="eastAsia" w:ascii="仿宋_GB2312" w:hAnsi="仿宋_GB2312" w:eastAsia="仿宋_GB2312" w:cs="仿宋_GB2312"/>
                <w:kern w:val="0"/>
                <w:sz w:val="24"/>
                <w:szCs w:val="24"/>
                <w:lang w:val="zh-CN" w:eastAsia="zh-CN"/>
              </w:rPr>
              <w:t>，承诺在服务过程中严格遵守相关规定，保证廉洁公正。不违法违规，不弄虚作假，不谋求不当利益，并对违规造成后果承担法律责任的得2分；未提供或提供不全不得分。</w:t>
            </w:r>
          </w:p>
        </w:tc>
        <w:tc>
          <w:tcPr>
            <w:tcW w:w="793" w:type="dxa"/>
            <w:noWrap w:val="0"/>
            <w:vAlign w:val="center"/>
          </w:tcPr>
          <w:p w14:paraId="6A43C516">
            <w:pPr>
              <w:autoSpaceDE w:val="0"/>
              <w:autoSpaceDN w:val="0"/>
              <w:spacing w:line="480" w:lineRule="auto"/>
              <w:jc w:val="center"/>
              <w:rPr>
                <w:rFonts w:hint="eastAsia" w:ascii="华文中宋" w:hAnsi="华文中宋" w:eastAsia="华文中宋" w:cs="华文中宋"/>
                <w:kern w:val="2"/>
                <w:sz w:val="24"/>
                <w:szCs w:val="24"/>
                <w:lang w:val="en-US" w:eastAsia="zh-CN" w:bidi="ar-SA"/>
              </w:rPr>
            </w:pPr>
            <w:r>
              <w:rPr>
                <w:rFonts w:hint="eastAsia" w:ascii="华文中宋" w:hAnsi="华文中宋" w:eastAsia="华文中宋" w:cs="华文中宋"/>
                <w:sz w:val="24"/>
                <w:szCs w:val="24"/>
                <w:lang w:val="en-US" w:eastAsia="zh-CN"/>
              </w:rPr>
              <w:t>2</w:t>
            </w:r>
            <w:r>
              <w:rPr>
                <w:rFonts w:hint="eastAsia" w:ascii="华文中宋" w:hAnsi="华文中宋" w:eastAsia="华文中宋" w:cs="华文中宋"/>
                <w:sz w:val="24"/>
                <w:szCs w:val="24"/>
              </w:rPr>
              <w:t>分</w:t>
            </w:r>
          </w:p>
        </w:tc>
      </w:tr>
    </w:tbl>
    <w:p w14:paraId="2B7BF0C9">
      <w:pPr>
        <w:spacing w:line="480" w:lineRule="auto"/>
        <w:rPr>
          <w:rFonts w:hint="eastAsia" w:ascii="华文中宋" w:hAnsi="华文中宋" w:eastAsia="华文中宋" w:cs="华文中宋"/>
          <w:sz w:val="24"/>
          <w:szCs w:val="24"/>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800002BF" w:usb1="184F6CF8" w:usb2="00000012" w:usb3="00000000" w:csb0="0002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21B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7E7BF">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47E7BF">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NmNiN2Y2ZjMwMWJhMmFiNDBjNTg5OTE3OTIzY2MifQ=="/>
  </w:docVars>
  <w:rsids>
    <w:rsidRoot w:val="7F28768A"/>
    <w:rsid w:val="0A194E08"/>
    <w:rsid w:val="1FB21CA6"/>
    <w:rsid w:val="20823EE5"/>
    <w:rsid w:val="387F6120"/>
    <w:rsid w:val="6AF3A763"/>
    <w:rsid w:val="7E83691D"/>
    <w:rsid w:val="7F28768A"/>
    <w:rsid w:val="D7CF9391"/>
    <w:rsid w:val="DCB94B5C"/>
    <w:rsid w:val="DEFF4DCE"/>
    <w:rsid w:val="F757785C"/>
    <w:rsid w:val="F97FD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 w:val="24"/>
    </w:rPr>
  </w:style>
  <w:style w:type="paragraph" w:styleId="3">
    <w:name w:val="Normal Indent"/>
    <w:basedOn w:val="1"/>
    <w:next w:val="1"/>
    <w:unhideWhenUsed/>
    <w:qFormat/>
    <w:uiPriority w:val="99"/>
    <w:pPr>
      <w:ind w:firstLine="420" w:firstLineChars="200"/>
    </w:pPr>
    <w:rPr>
      <w:kern w:val="0"/>
      <w:sz w:val="20"/>
    </w:rPr>
  </w:style>
  <w:style w:type="paragraph" w:styleId="4">
    <w:name w:val="toa heading"/>
    <w:basedOn w:val="1"/>
    <w:next w:val="1"/>
    <w:qFormat/>
    <w:uiPriority w:val="0"/>
    <w:pPr>
      <w:spacing w:before="120"/>
    </w:pPr>
    <w:rPr>
      <w:rFonts w:ascii="Arial" w:hAnsi="Arial" w:cs="Arial"/>
      <w:sz w:val="24"/>
      <w:szCs w:val="24"/>
    </w:rPr>
  </w:style>
  <w:style w:type="paragraph" w:styleId="5">
    <w:name w:val="Plain Text"/>
    <w:basedOn w:val="1"/>
    <w:qFormat/>
    <w:uiPriority w:val="0"/>
    <w:rPr>
      <w:rFonts w:ascii="Courier New"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widowControl/>
      <w:tabs>
        <w:tab w:val="right" w:leader="dot" w:pos="9062"/>
      </w:tabs>
      <w:spacing w:after="100" w:line="276" w:lineRule="auto"/>
      <w:jc w:val="center"/>
    </w:pPr>
    <w:rPr>
      <w:kern w:val="0"/>
      <w:sz w:val="22"/>
    </w:rPr>
  </w:style>
  <w:style w:type="paragraph" w:styleId="9">
    <w:name w:val="toc 9"/>
    <w:basedOn w:val="1"/>
    <w:next w:val="1"/>
    <w:qFormat/>
    <w:uiPriority w:val="0"/>
    <w:pPr>
      <w:wordWrap w:val="0"/>
      <w:ind w:left="1183"/>
      <w:jc w:val="both"/>
    </w:pPr>
    <w:rPr>
      <w:rFonts w:ascii="Times New Roman" w:hAnsi="Times New Roman" w:eastAsia="宋体" w:cs="Times New Roman"/>
      <w:lang w:val="en-US" w:eastAsia="zh-CN" w:bidi="ar-SA"/>
    </w:rPr>
  </w:style>
  <w:style w:type="paragraph" w:styleId="10">
    <w:name w:val="Body Text 2"/>
    <w:basedOn w:val="1"/>
    <w:next w:val="9"/>
    <w:qFormat/>
    <w:uiPriority w:val="0"/>
    <w:pPr>
      <w:spacing w:after="120" w:line="480" w:lineRule="auto"/>
    </w:pPr>
    <w:rPr>
      <w:rFonts w:ascii="Calibri" w:hAnsi="Calibri"/>
      <w:szCs w:val="22"/>
    </w:rPr>
  </w:style>
  <w:style w:type="paragraph" w:styleId="11">
    <w:name w:val="HTML Preformatted"/>
    <w:basedOn w:val="1"/>
    <w:next w:val="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Style1"/>
    <w:basedOn w:val="3"/>
    <w:qFormat/>
    <w:uiPriority w:val="99"/>
    <w:pPr>
      <w:tabs>
        <w:tab w:val="left" w:pos="-720"/>
      </w:tabs>
      <w:spacing w:after="120"/>
    </w:pPr>
    <w:rPr>
      <w:spacing w:val="-3"/>
      <w:sz w:val="24"/>
      <w:szCs w:val="20"/>
      <w:lang w:val="en-AU"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922</Words>
  <Characters>951</Characters>
  <Lines>0</Lines>
  <Paragraphs>0</Paragraphs>
  <TotalTime>25</TotalTime>
  <ScaleCrop>false</ScaleCrop>
  <LinksUpToDate>false</LinksUpToDate>
  <CharactersWithSpaces>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2024-06-29T03:17:00Z</dcterms:created>
  <dc:creator>牛beauty</dc:creator>
  <cp:lastModifiedBy>愿这个世界温柔以待</cp:lastModifiedBy>
  <cp:lastPrinted>2026-04-07T18:20:00Z</cp:lastPrinted>
  <dcterms:modified xsi:type="dcterms:W3CDTF">2026-04-08T07:43:45Z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16FEA3655AD34100A77B9D90371AEB3D_13</vt:lpwstr>
  </property>
</Properties>
</file>